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D2551" w:rsidR="00C1097C" w:rsidP="00C1097C" w:rsidRDefault="00C1097C" w14:paraId="777676CE" w14:textId="48EF8777">
      <w:pPr>
        <w:rPr>
          <w:b/>
          <w:bCs/>
          <w:sz w:val="20"/>
          <w:szCs w:val="20"/>
        </w:rPr>
      </w:pPr>
      <w:r w:rsidRPr="001D2551">
        <w:rPr>
          <w:b/>
          <w:bCs/>
          <w:sz w:val="20"/>
          <w:szCs w:val="20"/>
        </w:rPr>
        <w:t xml:space="preserve">Microsoft Education Support Stack | </w:t>
      </w:r>
      <w:r w:rsidR="00992ECE">
        <w:rPr>
          <w:b/>
          <w:bCs/>
          <w:sz w:val="20"/>
          <w:szCs w:val="20"/>
        </w:rPr>
        <w:t>Endpoint &amp; Threat Protection</w:t>
      </w:r>
    </w:p>
    <w:p w:rsidRPr="001D2551" w:rsidR="00C1097C" w:rsidP="00C1097C" w:rsidRDefault="00C1097C" w14:paraId="16B8BA0B" w14:textId="77777777">
      <w:pPr>
        <w:rPr>
          <w:b/>
          <w:bCs/>
          <w:sz w:val="20"/>
          <w:szCs w:val="20"/>
        </w:rPr>
      </w:pPr>
      <w:r w:rsidRPr="001D2551">
        <w:rPr>
          <w:b/>
          <w:bCs/>
          <w:sz w:val="20"/>
          <w:szCs w:val="20"/>
        </w:rPr>
        <w:t xml:space="preserve">Estimated Support Hours Needed: 4 Hours </w:t>
      </w:r>
      <w:r w:rsidRPr="001D2551">
        <w:rPr>
          <w:sz w:val="20"/>
          <w:szCs w:val="20"/>
        </w:rPr>
        <w:t>(This is an average; this will vary by school or institution.)</w:t>
      </w:r>
    </w:p>
    <w:p w:rsidRPr="001D2551" w:rsidR="00C1097C" w:rsidP="00C1097C" w:rsidRDefault="00C1097C" w14:paraId="47C5FF8D" w14:textId="77777777">
      <w:pPr>
        <w:rPr>
          <w:b/>
          <w:bCs/>
          <w:sz w:val="20"/>
          <w:szCs w:val="20"/>
        </w:rPr>
      </w:pPr>
      <w:r w:rsidRPr="001D2551">
        <w:rPr>
          <w:b/>
          <w:bCs/>
          <w:sz w:val="20"/>
          <w:szCs w:val="20"/>
        </w:rPr>
        <w:t xml:space="preserve">Target Audience: </w:t>
      </w:r>
    </w:p>
    <w:p w:rsidR="00264DE0" w:rsidP="00264DE0" w:rsidRDefault="00C1097C" w14:paraId="630241B1" w14:textId="235814CA">
      <w:pPr>
        <w:pStyle w:val="ListParagraph"/>
        <w:numPr>
          <w:ilvl w:val="0"/>
          <w:numId w:val="17"/>
        </w:numPr>
        <w:rPr>
          <w:sz w:val="20"/>
          <w:szCs w:val="20"/>
        </w:rPr>
      </w:pPr>
      <w:r w:rsidRPr="2D41F952" w:rsidR="060754CE">
        <w:rPr>
          <w:sz w:val="20"/>
          <w:szCs w:val="20"/>
        </w:rPr>
        <w:t>Designed for K</w:t>
      </w:r>
      <w:r w:rsidRPr="2D41F952" w:rsidR="060754CE">
        <w:rPr>
          <w:sz w:val="20"/>
          <w:szCs w:val="20"/>
        </w:rPr>
        <w:t xml:space="preserve">12 and Higher Education institutions </w:t>
      </w:r>
      <w:r w:rsidRPr="2D41F952" w:rsidR="060754CE">
        <w:rPr>
          <w:sz w:val="20"/>
          <w:szCs w:val="20"/>
        </w:rPr>
        <w:t>seeking</w:t>
      </w:r>
      <w:r w:rsidRPr="2D41F952" w:rsidR="060754CE">
        <w:rPr>
          <w:sz w:val="20"/>
          <w:szCs w:val="20"/>
        </w:rPr>
        <w:t xml:space="preserve"> quick, targeted gains through a short, </w:t>
      </w:r>
      <w:r w:rsidRPr="2D41F952" w:rsidR="060754CE">
        <w:rPr>
          <w:sz w:val="20"/>
          <w:szCs w:val="20"/>
        </w:rPr>
        <w:t>outcome</w:t>
      </w:r>
      <w:r w:rsidRPr="2D41F952" w:rsidR="0013944E">
        <w:rPr>
          <w:sz w:val="20"/>
          <w:szCs w:val="20"/>
        </w:rPr>
        <w:t>-</w:t>
      </w:r>
      <w:r w:rsidRPr="2D41F952" w:rsidR="060754CE">
        <w:rPr>
          <w:sz w:val="20"/>
          <w:szCs w:val="20"/>
        </w:rPr>
        <w:t>focused</w:t>
      </w:r>
      <w:r w:rsidRPr="2D41F952" w:rsidR="060754CE">
        <w:rPr>
          <w:sz w:val="20"/>
          <w:szCs w:val="20"/>
        </w:rPr>
        <w:t xml:space="preserve"> engagement:</w:t>
      </w:r>
    </w:p>
    <w:p w:rsidRPr="00264DE0" w:rsidR="00264DE0" w:rsidP="00264DE0" w:rsidRDefault="00264DE0" w14:paraId="6274C9AD" w14:textId="77777777">
      <w:pPr>
        <w:pStyle w:val="ListParagraph"/>
        <w:numPr>
          <w:ilvl w:val="1"/>
          <w:numId w:val="17"/>
        </w:numPr>
        <w:rPr>
          <w:sz w:val="20"/>
          <w:szCs w:val="20"/>
        </w:rPr>
      </w:pPr>
      <w:r w:rsidRPr="00264DE0">
        <w:rPr>
          <w:rFonts w:eastAsia="Times New Roman" w:cs="Segoe UI"/>
          <w:kern w:val="0"/>
          <w:sz w:val="20"/>
          <w:szCs w:val="20"/>
          <w14:ligatures w14:val="none"/>
        </w:rPr>
        <w:t xml:space="preserve">Use Microsoft Defender but lack unified threat visibility </w:t>
      </w:r>
    </w:p>
    <w:p w:rsidRPr="00264DE0" w:rsidR="00264DE0" w:rsidP="00264DE0" w:rsidRDefault="00264DE0" w14:paraId="0F4A4DCE" w14:textId="77777777">
      <w:pPr>
        <w:pStyle w:val="ListParagraph"/>
        <w:numPr>
          <w:ilvl w:val="1"/>
          <w:numId w:val="17"/>
        </w:numPr>
        <w:rPr>
          <w:sz w:val="20"/>
          <w:szCs w:val="20"/>
        </w:rPr>
      </w:pPr>
      <w:r w:rsidRPr="00264DE0">
        <w:rPr>
          <w:rFonts w:eastAsia="Times New Roman" w:cs="Segoe UI"/>
          <w:kern w:val="0"/>
          <w:sz w:val="20"/>
          <w:szCs w:val="20"/>
          <w14:ligatures w14:val="none"/>
        </w:rPr>
        <w:t xml:space="preserve">Need confidence in XDR, Endpoint, and policy alignment </w:t>
      </w:r>
    </w:p>
    <w:p w:rsidRPr="00264DE0" w:rsidR="00264DE0" w:rsidP="00264DE0" w:rsidRDefault="00264DE0" w14:paraId="0E93A57B" w14:textId="7ED809EE">
      <w:pPr>
        <w:pStyle w:val="ListParagraph"/>
        <w:numPr>
          <w:ilvl w:val="1"/>
          <w:numId w:val="17"/>
        </w:numPr>
        <w:rPr>
          <w:sz w:val="20"/>
          <w:szCs w:val="20"/>
        </w:rPr>
      </w:pPr>
      <w:r>
        <w:rPr>
          <w:rFonts w:eastAsia="Times New Roman" w:cs="Segoe UI"/>
          <w:kern w:val="0"/>
          <w:sz w:val="20"/>
          <w:szCs w:val="20"/>
          <w14:ligatures w14:val="none"/>
        </w:rPr>
        <w:t>Want</w:t>
      </w:r>
      <w:r w:rsidR="00712D75">
        <w:rPr>
          <w:rFonts w:eastAsia="Times New Roman" w:cs="Segoe UI"/>
          <w:kern w:val="0"/>
          <w:sz w:val="20"/>
          <w:szCs w:val="20"/>
          <w14:ligatures w14:val="none"/>
        </w:rPr>
        <w:t xml:space="preserve"> security</w:t>
      </w:r>
      <w:r w:rsidRPr="00264DE0">
        <w:rPr>
          <w:rFonts w:eastAsia="Times New Roman" w:cs="Segoe UI"/>
          <w:kern w:val="0"/>
          <w:sz w:val="20"/>
          <w:szCs w:val="20"/>
          <w14:ligatures w14:val="none"/>
        </w:rPr>
        <w:t xml:space="preserve"> posture validation</w:t>
      </w:r>
    </w:p>
    <w:p w:rsidRPr="001D2551" w:rsidR="00C1097C" w:rsidP="00264DE0" w:rsidRDefault="00C1097C" w14:paraId="38CFDAF3" w14:textId="77777777">
      <w:pPr>
        <w:rPr>
          <w:b/>
          <w:bCs/>
          <w:sz w:val="20"/>
          <w:szCs w:val="20"/>
        </w:rPr>
      </w:pPr>
      <w:r w:rsidRPr="001D2551">
        <w:rPr>
          <w:b/>
          <w:bCs/>
          <w:sz w:val="20"/>
          <w:szCs w:val="20"/>
        </w:rPr>
        <w:t>Service Overview</w:t>
      </w:r>
    </w:p>
    <w:p w:rsidRPr="004A4698" w:rsidR="00C1097C" w:rsidP="00C1097C" w:rsidRDefault="00C1097C" w14:paraId="190F8076" w14:textId="5EF41F5F">
      <w:pPr>
        <w:rPr>
          <w:sz w:val="20"/>
          <w:szCs w:val="20"/>
        </w:rPr>
      </w:pPr>
      <w:r w:rsidRPr="3CA3A9E2" w:rsidR="09D16A04">
        <w:rPr>
          <w:sz w:val="20"/>
          <w:szCs w:val="20"/>
        </w:rPr>
        <w:t xml:space="preserve">Support Stacks are predefined, outcome-based engagements designed to help K-12 and Higher Education* institutions </w:t>
      </w:r>
      <w:r w:rsidRPr="3CA3A9E2" w:rsidR="09D16A04">
        <w:rPr>
          <w:sz w:val="20"/>
          <w:szCs w:val="20"/>
        </w:rPr>
        <w:t>optimize</w:t>
      </w:r>
      <w:r w:rsidRPr="3CA3A9E2" w:rsidR="09D16A04">
        <w:rPr>
          <w:sz w:val="20"/>
          <w:szCs w:val="20"/>
        </w:rPr>
        <w:t xml:space="preserve"> their technological environments as it relates to Microsoft 365 Education integrations. These stacks are part of CDW Amplified for Microsoft Education Support Subscription and are tailored to address </w:t>
      </w:r>
      <w:r w:rsidRPr="3CA3A9E2" w:rsidR="09D16A04">
        <w:rPr>
          <w:sz w:val="20"/>
          <w:szCs w:val="20"/>
        </w:rPr>
        <w:t>common challenges</w:t>
      </w:r>
      <w:r w:rsidRPr="3CA3A9E2" w:rsidR="09D16A04">
        <w:rPr>
          <w:sz w:val="20"/>
          <w:szCs w:val="20"/>
        </w:rPr>
        <w:t xml:space="preserve"> in education IT operations</w:t>
      </w:r>
      <w:r w:rsidRPr="3CA3A9E2" w:rsidR="1BF12C52">
        <w:rPr>
          <w:sz w:val="20"/>
          <w:szCs w:val="20"/>
        </w:rPr>
        <w:t xml:space="preserve">. </w:t>
      </w:r>
      <w:r w:rsidRPr="3CA3A9E2" w:rsidR="35EA3785">
        <w:rPr>
          <w:sz w:val="20"/>
          <w:szCs w:val="20"/>
        </w:rPr>
        <w:t>S</w:t>
      </w:r>
      <w:r w:rsidRPr="3CA3A9E2" w:rsidR="09D16A04">
        <w:rPr>
          <w:sz w:val="20"/>
          <w:szCs w:val="20"/>
        </w:rPr>
        <w:t>upport</w:t>
      </w:r>
      <w:r w:rsidRPr="3CA3A9E2" w:rsidR="09D16A04">
        <w:rPr>
          <w:sz w:val="20"/>
          <w:szCs w:val="20"/>
        </w:rPr>
        <w:t xml:space="preserve"> </w:t>
      </w:r>
      <w:r w:rsidRPr="3CA3A9E2" w:rsidR="09D16A04">
        <w:rPr>
          <w:sz w:val="20"/>
          <w:szCs w:val="20"/>
        </w:rPr>
        <w:t>Stacks</w:t>
      </w:r>
      <w:r w:rsidRPr="3CA3A9E2" w:rsidR="09D16A04">
        <w:rPr>
          <w:sz w:val="20"/>
          <w:szCs w:val="20"/>
        </w:rPr>
        <w:t xml:space="preserve"> </w:t>
      </w:r>
      <w:r w:rsidRPr="3CA3A9E2" w:rsidR="09D16A04">
        <w:rPr>
          <w:sz w:val="20"/>
          <w:szCs w:val="20"/>
        </w:rPr>
        <w:t>are predefined, outcome-based engagements.</w:t>
      </w:r>
    </w:p>
    <w:p w:rsidRPr="00781D17" w:rsidR="00530A2A" w:rsidP="00530A2A" w:rsidRDefault="00530A2A" w14:paraId="00AD6724" w14:textId="77777777">
      <w:pPr>
        <w:rPr>
          <w:sz w:val="20"/>
          <w:szCs w:val="20"/>
        </w:rPr>
      </w:pPr>
      <w:r w:rsidRPr="00781D17">
        <w:rPr>
          <w:sz w:val="20"/>
          <w:szCs w:val="20"/>
        </w:rPr>
        <w:t>This stack helps institutions strengthen their cybersecurity posture by evaluating Microsoft Defender configurations across endpoints and security workloads. The focus is on ensuring Defender XDR and Defender for Endpoint are properly aligned for unified threat detection, automated response, and institutional policy compliance. The outcome is improved visibility, consistency, and resilience across campus and remote environments.</w:t>
      </w:r>
    </w:p>
    <w:p w:rsidRPr="00781D17" w:rsidR="00CC102F" w:rsidP="00CC102F" w:rsidRDefault="00CC102F" w14:paraId="4DC98C23" w14:textId="77777777">
      <w:pPr>
        <w:rPr>
          <w:b/>
          <w:bCs/>
          <w:sz w:val="20"/>
          <w:szCs w:val="20"/>
        </w:rPr>
      </w:pPr>
      <w:r w:rsidRPr="00781D17">
        <w:rPr>
          <w:b/>
          <w:bCs/>
          <w:sz w:val="20"/>
          <w:szCs w:val="20"/>
        </w:rPr>
        <w:t>Deliverables</w:t>
      </w:r>
    </w:p>
    <w:p w:rsidRPr="00781D17" w:rsidR="00CC102F" w:rsidP="00CC102F" w:rsidRDefault="00CC102F" w14:paraId="4811ED6F" w14:textId="77777777">
      <w:pPr>
        <w:pStyle w:val="NormalWeb"/>
        <w:numPr>
          <w:ilvl w:val="0"/>
          <w:numId w:val="11"/>
        </w:numPr>
        <w:rPr>
          <w:rFonts w:asciiTheme="minorHAnsi" w:hAnsiTheme="minorHAnsi" w:eastAsiaTheme="minorHAnsi" w:cstheme="minorBidi"/>
          <w:kern w:val="2"/>
          <w:sz w:val="20"/>
          <w:szCs w:val="20"/>
          <w14:ligatures w14:val="standardContextual"/>
        </w:rPr>
      </w:pPr>
      <w:r w:rsidRPr="00781D17">
        <w:rPr>
          <w:rFonts w:asciiTheme="minorHAnsi" w:hAnsiTheme="minorHAnsi" w:eastAsiaTheme="minorHAnsi" w:cstheme="minorBidi"/>
          <w:kern w:val="2"/>
          <w:sz w:val="20"/>
          <w:szCs w:val="20"/>
          <w14:ligatures w14:val="standardContextual"/>
        </w:rPr>
        <w:t>Evaluate the institution’s Microsoft Defender XDR configuration to ensure unified incident detection, investigation, and automated response across security workloads</w:t>
      </w:r>
      <w:r w:rsidRPr="00781D17">
        <w:rPr>
          <w:rFonts w:asciiTheme="minorHAnsi" w:hAnsiTheme="minorHAnsi" w:eastAsiaTheme="minorHAnsi" w:cstheme="minorBidi"/>
          <w:kern w:val="2"/>
          <w:sz w:val="20"/>
          <w:szCs w:val="20"/>
          <w14:ligatures w14:val="standardContextual"/>
        </w:rPr>
        <w:br/>
      </w:r>
    </w:p>
    <w:p w:rsidRPr="00781D17" w:rsidR="00CC102F" w:rsidP="00CC102F" w:rsidRDefault="00CC102F" w14:paraId="72CEA98A" w14:textId="77777777">
      <w:pPr>
        <w:pStyle w:val="NormalWeb"/>
        <w:numPr>
          <w:ilvl w:val="0"/>
          <w:numId w:val="11"/>
        </w:numPr>
        <w:rPr>
          <w:rFonts w:asciiTheme="minorHAnsi" w:hAnsiTheme="minorHAnsi" w:eastAsiaTheme="minorHAnsi" w:cstheme="minorBidi"/>
          <w:kern w:val="2"/>
          <w:sz w:val="20"/>
          <w:szCs w:val="20"/>
          <w14:ligatures w14:val="standardContextual"/>
        </w:rPr>
      </w:pPr>
      <w:r w:rsidRPr="00781D17">
        <w:rPr>
          <w:rFonts w:asciiTheme="minorHAnsi" w:hAnsiTheme="minorHAnsi" w:eastAsiaTheme="minorHAnsi" w:cstheme="minorBidi"/>
          <w:kern w:val="2"/>
          <w:sz w:val="20"/>
          <w:szCs w:val="20"/>
          <w14:ligatures w14:val="standardContextual"/>
        </w:rPr>
        <w:t>Review Defender for Endpoint configurations to verify alignment with institutional threat-protection objectives.</w:t>
      </w:r>
      <w:r w:rsidRPr="00781D17">
        <w:rPr>
          <w:rFonts w:asciiTheme="minorHAnsi" w:hAnsiTheme="minorHAnsi" w:eastAsiaTheme="minorHAnsi" w:cstheme="minorBidi"/>
          <w:kern w:val="2"/>
          <w:sz w:val="20"/>
          <w:szCs w:val="20"/>
          <w14:ligatures w14:val="standardContextual"/>
        </w:rPr>
        <w:br/>
      </w:r>
    </w:p>
    <w:p w:rsidRPr="00781D17" w:rsidR="00CC102F" w:rsidP="00CC102F" w:rsidRDefault="00CC102F" w14:paraId="7D4B1AC0" w14:textId="77777777">
      <w:pPr>
        <w:rPr>
          <w:b/>
          <w:bCs/>
          <w:sz w:val="20"/>
          <w:szCs w:val="20"/>
        </w:rPr>
      </w:pPr>
      <w:r w:rsidRPr="00781D17">
        <w:rPr>
          <w:b/>
          <w:bCs/>
          <w:sz w:val="20"/>
          <w:szCs w:val="20"/>
        </w:rPr>
        <w:t>Milestones</w:t>
      </w:r>
    </w:p>
    <w:p w:rsidRPr="00781D17" w:rsidR="00CC102F" w:rsidP="00CC102F" w:rsidRDefault="00CC102F" w14:paraId="454E2F43" w14:textId="77777777">
      <w:pPr>
        <w:pStyle w:val="NormalWeb"/>
        <w:numPr>
          <w:ilvl w:val="0"/>
          <w:numId w:val="12"/>
        </w:numPr>
        <w:rPr>
          <w:rFonts w:asciiTheme="minorHAnsi" w:hAnsiTheme="minorHAnsi" w:eastAsiaTheme="minorHAnsi" w:cstheme="minorBidi"/>
          <w:kern w:val="2"/>
          <w:sz w:val="20"/>
          <w:szCs w:val="20"/>
          <w14:ligatures w14:val="standardContextual"/>
        </w:rPr>
      </w:pPr>
      <w:r w:rsidRPr="00781D17">
        <w:rPr>
          <w:rFonts w:asciiTheme="minorHAnsi" w:hAnsiTheme="minorHAnsi" w:eastAsiaTheme="minorHAnsi" w:cstheme="minorBidi"/>
          <w:kern w:val="2"/>
          <w:sz w:val="20"/>
          <w:szCs w:val="20"/>
          <w14:ligatures w14:val="standardContextual"/>
        </w:rPr>
        <w:t>Review the institution’s current endpoint protection posture, Microsoft Defender deployment status, and integration with Microsoft 365 security services.</w:t>
      </w:r>
    </w:p>
    <w:p w:rsidRPr="00781D17" w:rsidR="00CC102F" w:rsidP="00CC102F" w:rsidRDefault="00CC102F" w14:paraId="6377EC63" w14:textId="77777777">
      <w:pPr>
        <w:pStyle w:val="NormalWeb"/>
        <w:numPr>
          <w:ilvl w:val="0"/>
          <w:numId w:val="12"/>
        </w:numPr>
        <w:rPr>
          <w:rFonts w:asciiTheme="minorHAnsi" w:hAnsiTheme="minorHAnsi" w:eastAsiaTheme="minorHAnsi" w:cstheme="minorBidi"/>
          <w:kern w:val="2"/>
          <w:sz w:val="20"/>
          <w:szCs w:val="20"/>
          <w14:ligatures w14:val="standardContextual"/>
        </w:rPr>
      </w:pPr>
      <w:r w:rsidRPr="00781D17">
        <w:rPr>
          <w:rFonts w:asciiTheme="minorHAnsi" w:hAnsiTheme="minorHAnsi" w:eastAsiaTheme="minorHAnsi" w:cstheme="minorBidi"/>
          <w:kern w:val="2"/>
          <w:sz w:val="20"/>
          <w:szCs w:val="20"/>
          <w14:ligatures w14:val="standardContextual"/>
        </w:rPr>
        <w:t>Evaluate Defender XDR configuration, incident correlation, and response automation, review Defender for Endpoint policies and onboarding coverage.</w:t>
      </w:r>
    </w:p>
    <w:p w:rsidRPr="00CC102F" w:rsidR="00CC102F" w:rsidP="00CC102F" w:rsidRDefault="00CC102F" w14:paraId="0AB48402" w14:textId="77777777">
      <w:pPr>
        <w:pStyle w:val="NormalWeb"/>
        <w:numPr>
          <w:ilvl w:val="0"/>
          <w:numId w:val="12"/>
        </w:numPr>
        <w:rPr>
          <w:rFonts w:asciiTheme="minorHAnsi" w:hAnsiTheme="minorHAnsi"/>
          <w:sz w:val="20"/>
          <w:szCs w:val="20"/>
        </w:rPr>
      </w:pPr>
      <w:r w:rsidRPr="422793D3">
        <w:rPr>
          <w:rFonts w:asciiTheme="minorHAnsi" w:hAnsiTheme="minorHAnsi" w:eastAsiaTheme="minorEastAsia" w:cstheme="minorBidi"/>
          <w:kern w:val="2"/>
          <w:sz w:val="20"/>
          <w:szCs w:val="20"/>
          <w14:ligatures w14:val="standardContextual"/>
        </w:rPr>
        <w:t>Validate policy alignment with institutional security objectives and verify device protection consistency across user groups.</w:t>
      </w:r>
    </w:p>
    <w:p w:rsidRPr="009F3D03" w:rsidR="00C1097C" w:rsidP="00C1097C" w:rsidRDefault="00C1097C" w14:paraId="1255B629" w14:textId="77777777">
      <w:pPr>
        <w:pStyle w:val="NormalWeb"/>
        <w:ind w:left="720"/>
        <w:rPr>
          <w:rFonts w:asciiTheme="minorHAnsi" w:hAnsiTheme="minorHAnsi"/>
          <w:sz w:val="20"/>
          <w:szCs w:val="20"/>
        </w:rPr>
      </w:pPr>
    </w:p>
    <w:p w:rsidR="00C1097C" w:rsidP="00C1097C" w:rsidRDefault="00C1097C" w14:paraId="17B54736" w14:textId="77777777">
      <w:pPr>
        <w:pStyle w:val="NormalWeb"/>
        <w:rPr>
          <w:rFonts w:asciiTheme="minorHAnsi" w:hAnsiTheme="minorHAnsi" w:eastAsiaTheme="minorEastAsia" w:cstheme="minorBidi"/>
          <w:kern w:val="2"/>
          <w:sz w:val="20"/>
          <w:szCs w:val="20"/>
          <w14:ligatures w14:val="standardContextual"/>
        </w:rPr>
      </w:pPr>
      <w:r>
        <w:rPr>
          <w:rFonts w:asciiTheme="minorHAnsi" w:hAnsiTheme="minorHAnsi" w:eastAsiaTheme="minorEastAsia" w:cstheme="minorBidi"/>
          <w:kern w:val="2"/>
          <w:sz w:val="20"/>
          <w:szCs w:val="20"/>
          <w14:ligatures w14:val="standardContextual"/>
        </w:rPr>
        <w:t xml:space="preserve">The engagement </w:t>
      </w:r>
      <w:proofErr w:type="gramStart"/>
      <w:r>
        <w:rPr>
          <w:rFonts w:asciiTheme="minorHAnsi" w:hAnsiTheme="minorHAnsi" w:eastAsiaTheme="minorEastAsia" w:cstheme="minorBidi"/>
          <w:kern w:val="2"/>
          <w:sz w:val="20"/>
          <w:szCs w:val="20"/>
          <w14:ligatures w14:val="standardContextual"/>
        </w:rPr>
        <w:t>for</w:t>
      </w:r>
      <w:proofErr w:type="gramEnd"/>
      <w:r>
        <w:rPr>
          <w:rFonts w:asciiTheme="minorHAnsi" w:hAnsiTheme="minorHAnsi" w:eastAsiaTheme="minorEastAsia" w:cstheme="minorBidi"/>
          <w:kern w:val="2"/>
          <w:sz w:val="20"/>
          <w:szCs w:val="20"/>
          <w14:ligatures w14:val="standardContextual"/>
        </w:rPr>
        <w:t xml:space="preserve"> this project is considered complete once all deliverables are given to the customer. Further questions or support needed would constitute a new engagement and could incur additional costs. </w:t>
      </w:r>
    </w:p>
    <w:p w:rsidR="5BB987F0" w:rsidP="00CC102F" w:rsidRDefault="00C1097C" w14:paraId="42486747" w14:textId="68EDFC7B">
      <w:pPr>
        <w:pStyle w:val="NormalWeb"/>
        <w:rPr>
          <w:sz w:val="20"/>
          <w:szCs w:val="20"/>
        </w:rPr>
      </w:pPr>
      <w:r>
        <w:rPr>
          <w:rFonts w:asciiTheme="minorHAnsi" w:hAnsiTheme="minorHAnsi" w:eastAsiaTheme="minorEastAsia" w:cstheme="minorBidi"/>
          <w:kern w:val="2"/>
          <w:sz w:val="20"/>
          <w:szCs w:val="20"/>
          <w14:ligatures w14:val="standardContextual"/>
        </w:rPr>
        <w:t xml:space="preserve">Ready to get started? Click </w:t>
      </w:r>
      <w:hyperlink w:history="1" r:id="rId8">
        <w:r w:rsidRPr="008E4CA1">
          <w:rPr>
            <w:rStyle w:val="Hyperlink"/>
            <w:rFonts w:asciiTheme="minorHAnsi" w:hAnsiTheme="minorHAnsi" w:eastAsiaTheme="minorEastAsia" w:cstheme="minorBidi"/>
            <w:kern w:val="2"/>
            <w:sz w:val="20"/>
            <w:szCs w:val="20"/>
            <w14:ligatures w14:val="standardContextual"/>
          </w:rPr>
          <w:t>here</w:t>
        </w:r>
      </w:hyperlink>
      <w:r>
        <w:rPr>
          <w:rFonts w:asciiTheme="minorHAnsi" w:hAnsiTheme="minorHAnsi" w:eastAsiaTheme="minorEastAsia" w:cstheme="minorBidi"/>
          <w:kern w:val="2"/>
          <w:sz w:val="20"/>
          <w:szCs w:val="20"/>
          <w14:ligatures w14:val="standardContextual"/>
        </w:rPr>
        <w:t xml:space="preserve"> to create a ticket. </w:t>
      </w:r>
    </w:p>
    <w:sectPr w:rsidR="5BB987F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D2D9F"/>
    <w:multiLevelType w:val="hybridMultilevel"/>
    <w:tmpl w:val="31AE3696"/>
    <w:lvl w:ilvl="0" w:tplc="73E6D94C">
      <w:start w:val="1"/>
      <w:numFmt w:val="bullet"/>
      <w:lvlText w:val=""/>
      <w:lvlJc w:val="left"/>
      <w:pPr>
        <w:ind w:left="720" w:hanging="360"/>
      </w:pPr>
      <w:rPr>
        <w:rFonts w:hint="default" w:ascii="Symbol" w:hAnsi="Symbol"/>
      </w:rPr>
    </w:lvl>
    <w:lvl w:ilvl="1" w:tplc="DF927474">
      <w:start w:val="1"/>
      <w:numFmt w:val="bullet"/>
      <w:lvlText w:val="o"/>
      <w:lvlJc w:val="left"/>
      <w:pPr>
        <w:ind w:left="1440" w:hanging="360"/>
      </w:pPr>
      <w:rPr>
        <w:rFonts w:hint="default" w:ascii="Courier New" w:hAnsi="Courier New"/>
      </w:rPr>
    </w:lvl>
    <w:lvl w:ilvl="2" w:tplc="240C51B2">
      <w:start w:val="1"/>
      <w:numFmt w:val="bullet"/>
      <w:lvlText w:val=""/>
      <w:lvlJc w:val="left"/>
      <w:pPr>
        <w:ind w:left="2160" w:hanging="360"/>
      </w:pPr>
      <w:rPr>
        <w:rFonts w:hint="default" w:ascii="Wingdings" w:hAnsi="Wingdings"/>
      </w:rPr>
    </w:lvl>
    <w:lvl w:ilvl="3" w:tplc="74A0C08E">
      <w:start w:val="1"/>
      <w:numFmt w:val="bullet"/>
      <w:lvlText w:val=""/>
      <w:lvlJc w:val="left"/>
      <w:pPr>
        <w:ind w:left="2880" w:hanging="360"/>
      </w:pPr>
      <w:rPr>
        <w:rFonts w:hint="default" w:ascii="Symbol" w:hAnsi="Symbol"/>
      </w:rPr>
    </w:lvl>
    <w:lvl w:ilvl="4" w:tplc="9836C31E">
      <w:start w:val="1"/>
      <w:numFmt w:val="bullet"/>
      <w:lvlText w:val="o"/>
      <w:lvlJc w:val="left"/>
      <w:pPr>
        <w:ind w:left="3600" w:hanging="360"/>
      </w:pPr>
      <w:rPr>
        <w:rFonts w:hint="default" w:ascii="Courier New" w:hAnsi="Courier New"/>
      </w:rPr>
    </w:lvl>
    <w:lvl w:ilvl="5" w:tplc="E236EA3A">
      <w:start w:val="1"/>
      <w:numFmt w:val="bullet"/>
      <w:lvlText w:val=""/>
      <w:lvlJc w:val="left"/>
      <w:pPr>
        <w:ind w:left="4320" w:hanging="360"/>
      </w:pPr>
      <w:rPr>
        <w:rFonts w:hint="default" w:ascii="Wingdings" w:hAnsi="Wingdings"/>
      </w:rPr>
    </w:lvl>
    <w:lvl w:ilvl="6" w:tplc="3B28C1B0">
      <w:start w:val="1"/>
      <w:numFmt w:val="bullet"/>
      <w:lvlText w:val=""/>
      <w:lvlJc w:val="left"/>
      <w:pPr>
        <w:ind w:left="5040" w:hanging="360"/>
      </w:pPr>
      <w:rPr>
        <w:rFonts w:hint="default" w:ascii="Symbol" w:hAnsi="Symbol"/>
      </w:rPr>
    </w:lvl>
    <w:lvl w:ilvl="7" w:tplc="F3A47100">
      <w:start w:val="1"/>
      <w:numFmt w:val="bullet"/>
      <w:lvlText w:val="o"/>
      <w:lvlJc w:val="left"/>
      <w:pPr>
        <w:ind w:left="5760" w:hanging="360"/>
      </w:pPr>
      <w:rPr>
        <w:rFonts w:hint="default" w:ascii="Courier New" w:hAnsi="Courier New"/>
      </w:rPr>
    </w:lvl>
    <w:lvl w:ilvl="8" w:tplc="81AE7F3C">
      <w:start w:val="1"/>
      <w:numFmt w:val="bullet"/>
      <w:lvlText w:val=""/>
      <w:lvlJc w:val="left"/>
      <w:pPr>
        <w:ind w:left="6480" w:hanging="360"/>
      </w:pPr>
      <w:rPr>
        <w:rFonts w:hint="default" w:ascii="Wingdings" w:hAnsi="Wingdings"/>
      </w:rPr>
    </w:lvl>
  </w:abstractNum>
  <w:abstractNum w:abstractNumId="1" w15:restartNumberingAfterBreak="0">
    <w:nsid w:val="105F5096"/>
    <w:multiLevelType w:val="multilevel"/>
    <w:tmpl w:val="C2301D70"/>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2" w15:restartNumberingAfterBreak="0">
    <w:nsid w:val="12C954D8"/>
    <w:multiLevelType w:val="multilevel"/>
    <w:tmpl w:val="4CCC7F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4D73618"/>
    <w:multiLevelType w:val="multilevel"/>
    <w:tmpl w:val="DFF08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B91E73"/>
    <w:multiLevelType w:val="hybridMultilevel"/>
    <w:tmpl w:val="918A00D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5F625FA"/>
    <w:multiLevelType w:val="multilevel"/>
    <w:tmpl w:val="5D8E8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DB5AF2"/>
    <w:multiLevelType w:val="multilevel"/>
    <w:tmpl w:val="7F987E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54D5AFA"/>
    <w:multiLevelType w:val="hybridMultilevel"/>
    <w:tmpl w:val="78B677F0"/>
    <w:lvl w:ilvl="0" w:tplc="A042B6B4">
      <w:start w:val="1"/>
      <w:numFmt w:val="bullet"/>
      <w:lvlText w:val=""/>
      <w:lvlJc w:val="left"/>
      <w:pPr>
        <w:ind w:left="720" w:hanging="360"/>
      </w:pPr>
      <w:rPr>
        <w:rFonts w:hint="default" w:ascii="Symbol" w:hAnsi="Symbol"/>
      </w:rPr>
    </w:lvl>
    <w:lvl w:ilvl="1" w:tplc="893E8442">
      <w:start w:val="1"/>
      <w:numFmt w:val="bullet"/>
      <w:lvlText w:val="o"/>
      <w:lvlJc w:val="left"/>
      <w:pPr>
        <w:ind w:left="1440" w:hanging="360"/>
      </w:pPr>
      <w:rPr>
        <w:rFonts w:hint="default" w:ascii="Courier New" w:hAnsi="Courier New"/>
      </w:rPr>
    </w:lvl>
    <w:lvl w:ilvl="2" w:tplc="37A2B160">
      <w:start w:val="1"/>
      <w:numFmt w:val="bullet"/>
      <w:lvlText w:val=""/>
      <w:lvlJc w:val="left"/>
      <w:pPr>
        <w:ind w:left="2160" w:hanging="360"/>
      </w:pPr>
      <w:rPr>
        <w:rFonts w:hint="default" w:ascii="Wingdings" w:hAnsi="Wingdings"/>
      </w:rPr>
    </w:lvl>
    <w:lvl w:ilvl="3" w:tplc="4606B186">
      <w:start w:val="1"/>
      <w:numFmt w:val="bullet"/>
      <w:lvlText w:val=""/>
      <w:lvlJc w:val="left"/>
      <w:pPr>
        <w:ind w:left="2880" w:hanging="360"/>
      </w:pPr>
      <w:rPr>
        <w:rFonts w:hint="default" w:ascii="Symbol" w:hAnsi="Symbol"/>
      </w:rPr>
    </w:lvl>
    <w:lvl w:ilvl="4" w:tplc="12084494">
      <w:start w:val="1"/>
      <w:numFmt w:val="bullet"/>
      <w:lvlText w:val="o"/>
      <w:lvlJc w:val="left"/>
      <w:pPr>
        <w:ind w:left="3600" w:hanging="360"/>
      </w:pPr>
      <w:rPr>
        <w:rFonts w:hint="default" w:ascii="Courier New" w:hAnsi="Courier New"/>
      </w:rPr>
    </w:lvl>
    <w:lvl w:ilvl="5" w:tplc="36CC86CE">
      <w:start w:val="1"/>
      <w:numFmt w:val="bullet"/>
      <w:lvlText w:val=""/>
      <w:lvlJc w:val="left"/>
      <w:pPr>
        <w:ind w:left="4320" w:hanging="360"/>
      </w:pPr>
      <w:rPr>
        <w:rFonts w:hint="default" w:ascii="Wingdings" w:hAnsi="Wingdings"/>
      </w:rPr>
    </w:lvl>
    <w:lvl w:ilvl="6" w:tplc="2F6CADA6">
      <w:start w:val="1"/>
      <w:numFmt w:val="bullet"/>
      <w:lvlText w:val=""/>
      <w:lvlJc w:val="left"/>
      <w:pPr>
        <w:ind w:left="5040" w:hanging="360"/>
      </w:pPr>
      <w:rPr>
        <w:rFonts w:hint="default" w:ascii="Symbol" w:hAnsi="Symbol"/>
      </w:rPr>
    </w:lvl>
    <w:lvl w:ilvl="7" w:tplc="28603540">
      <w:start w:val="1"/>
      <w:numFmt w:val="bullet"/>
      <w:lvlText w:val="o"/>
      <w:lvlJc w:val="left"/>
      <w:pPr>
        <w:ind w:left="5760" w:hanging="360"/>
      </w:pPr>
      <w:rPr>
        <w:rFonts w:hint="default" w:ascii="Courier New" w:hAnsi="Courier New"/>
      </w:rPr>
    </w:lvl>
    <w:lvl w:ilvl="8" w:tplc="30CA256C">
      <w:start w:val="1"/>
      <w:numFmt w:val="bullet"/>
      <w:lvlText w:val=""/>
      <w:lvlJc w:val="left"/>
      <w:pPr>
        <w:ind w:left="6480" w:hanging="360"/>
      </w:pPr>
      <w:rPr>
        <w:rFonts w:hint="default" w:ascii="Wingdings" w:hAnsi="Wingdings"/>
      </w:rPr>
    </w:lvl>
  </w:abstractNum>
  <w:abstractNum w:abstractNumId="8" w15:restartNumberingAfterBreak="0">
    <w:nsid w:val="3AB911D3"/>
    <w:multiLevelType w:val="hybridMultilevel"/>
    <w:tmpl w:val="1FBCECF4"/>
    <w:lvl w:ilvl="0" w:tplc="F5D825FC">
      <w:start w:val="1"/>
      <w:numFmt w:val="decimal"/>
      <w:lvlText w:val="%1."/>
      <w:lvlJc w:val="left"/>
      <w:pPr>
        <w:ind w:left="720" w:hanging="360"/>
      </w:pPr>
    </w:lvl>
    <w:lvl w:ilvl="1" w:tplc="762AC56E">
      <w:start w:val="1"/>
      <w:numFmt w:val="lowerLetter"/>
      <w:lvlText w:val="%2."/>
      <w:lvlJc w:val="left"/>
      <w:pPr>
        <w:ind w:left="1440" w:hanging="360"/>
      </w:pPr>
    </w:lvl>
    <w:lvl w:ilvl="2" w:tplc="C5701060">
      <w:start w:val="1"/>
      <w:numFmt w:val="lowerRoman"/>
      <w:lvlText w:val="%3."/>
      <w:lvlJc w:val="right"/>
      <w:pPr>
        <w:ind w:left="2160" w:hanging="180"/>
      </w:pPr>
    </w:lvl>
    <w:lvl w:ilvl="3" w:tplc="93F6E318">
      <w:start w:val="1"/>
      <w:numFmt w:val="decimal"/>
      <w:lvlText w:val="%4."/>
      <w:lvlJc w:val="left"/>
      <w:pPr>
        <w:ind w:left="2880" w:hanging="360"/>
      </w:pPr>
    </w:lvl>
    <w:lvl w:ilvl="4" w:tplc="D26E729E">
      <w:start w:val="1"/>
      <w:numFmt w:val="lowerLetter"/>
      <w:lvlText w:val="%5."/>
      <w:lvlJc w:val="left"/>
      <w:pPr>
        <w:ind w:left="3600" w:hanging="360"/>
      </w:pPr>
    </w:lvl>
    <w:lvl w:ilvl="5" w:tplc="AC0CB888">
      <w:start w:val="1"/>
      <w:numFmt w:val="lowerRoman"/>
      <w:lvlText w:val="%6."/>
      <w:lvlJc w:val="right"/>
      <w:pPr>
        <w:ind w:left="4320" w:hanging="180"/>
      </w:pPr>
    </w:lvl>
    <w:lvl w:ilvl="6" w:tplc="CA8025F0">
      <w:start w:val="1"/>
      <w:numFmt w:val="decimal"/>
      <w:lvlText w:val="%7."/>
      <w:lvlJc w:val="left"/>
      <w:pPr>
        <w:ind w:left="5040" w:hanging="360"/>
      </w:pPr>
    </w:lvl>
    <w:lvl w:ilvl="7" w:tplc="BEF2E44E">
      <w:start w:val="1"/>
      <w:numFmt w:val="lowerLetter"/>
      <w:lvlText w:val="%8."/>
      <w:lvlJc w:val="left"/>
      <w:pPr>
        <w:ind w:left="5760" w:hanging="360"/>
      </w:pPr>
    </w:lvl>
    <w:lvl w:ilvl="8" w:tplc="0CA0BF04">
      <w:start w:val="1"/>
      <w:numFmt w:val="lowerRoman"/>
      <w:lvlText w:val="%9."/>
      <w:lvlJc w:val="right"/>
      <w:pPr>
        <w:ind w:left="6480" w:hanging="180"/>
      </w:pPr>
    </w:lvl>
  </w:abstractNum>
  <w:abstractNum w:abstractNumId="9" w15:restartNumberingAfterBreak="0">
    <w:nsid w:val="3ACE2A99"/>
    <w:multiLevelType w:val="multilevel"/>
    <w:tmpl w:val="BE58E2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DC02B2C"/>
    <w:multiLevelType w:val="multilevel"/>
    <w:tmpl w:val="C826E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F3396C"/>
    <w:multiLevelType w:val="hybridMultilevel"/>
    <w:tmpl w:val="398E87D8"/>
    <w:lvl w:ilvl="0" w:tplc="01463BF4">
      <w:start w:val="1"/>
      <w:numFmt w:val="decimal"/>
      <w:lvlText w:val="%1."/>
      <w:lvlJc w:val="left"/>
      <w:pPr>
        <w:ind w:left="720" w:hanging="360"/>
      </w:pPr>
    </w:lvl>
    <w:lvl w:ilvl="1" w:tplc="594E86AE">
      <w:start w:val="1"/>
      <w:numFmt w:val="lowerLetter"/>
      <w:lvlText w:val="%2."/>
      <w:lvlJc w:val="left"/>
      <w:pPr>
        <w:ind w:left="1440" w:hanging="360"/>
      </w:pPr>
    </w:lvl>
    <w:lvl w:ilvl="2" w:tplc="4C6C4A34">
      <w:start w:val="1"/>
      <w:numFmt w:val="lowerRoman"/>
      <w:lvlText w:val="%3."/>
      <w:lvlJc w:val="right"/>
      <w:pPr>
        <w:ind w:left="2160" w:hanging="180"/>
      </w:pPr>
    </w:lvl>
    <w:lvl w:ilvl="3" w:tplc="163E9002">
      <w:start w:val="1"/>
      <w:numFmt w:val="decimal"/>
      <w:lvlText w:val="%4."/>
      <w:lvlJc w:val="left"/>
      <w:pPr>
        <w:ind w:left="2880" w:hanging="360"/>
      </w:pPr>
    </w:lvl>
    <w:lvl w:ilvl="4" w:tplc="1B22457A">
      <w:start w:val="1"/>
      <w:numFmt w:val="lowerLetter"/>
      <w:lvlText w:val="%5."/>
      <w:lvlJc w:val="left"/>
      <w:pPr>
        <w:ind w:left="3600" w:hanging="360"/>
      </w:pPr>
    </w:lvl>
    <w:lvl w:ilvl="5" w:tplc="BF6E58DE">
      <w:start w:val="1"/>
      <w:numFmt w:val="lowerRoman"/>
      <w:lvlText w:val="%6."/>
      <w:lvlJc w:val="right"/>
      <w:pPr>
        <w:ind w:left="4320" w:hanging="180"/>
      </w:pPr>
    </w:lvl>
    <w:lvl w:ilvl="6" w:tplc="A07E8814">
      <w:start w:val="1"/>
      <w:numFmt w:val="decimal"/>
      <w:lvlText w:val="%7."/>
      <w:lvlJc w:val="left"/>
      <w:pPr>
        <w:ind w:left="5040" w:hanging="360"/>
      </w:pPr>
    </w:lvl>
    <w:lvl w:ilvl="7" w:tplc="CBDA1CE6">
      <w:start w:val="1"/>
      <w:numFmt w:val="lowerLetter"/>
      <w:lvlText w:val="%8."/>
      <w:lvlJc w:val="left"/>
      <w:pPr>
        <w:ind w:left="5760" w:hanging="360"/>
      </w:pPr>
    </w:lvl>
    <w:lvl w:ilvl="8" w:tplc="F76480B0">
      <w:start w:val="1"/>
      <w:numFmt w:val="lowerRoman"/>
      <w:lvlText w:val="%9."/>
      <w:lvlJc w:val="right"/>
      <w:pPr>
        <w:ind w:left="6480" w:hanging="180"/>
      </w:pPr>
    </w:lvl>
  </w:abstractNum>
  <w:abstractNum w:abstractNumId="12" w15:restartNumberingAfterBreak="0">
    <w:nsid w:val="439CAE3D"/>
    <w:multiLevelType w:val="hybridMultilevel"/>
    <w:tmpl w:val="5B2648C6"/>
    <w:lvl w:ilvl="0" w:tplc="2188BB30">
      <w:start w:val="1"/>
      <w:numFmt w:val="decimal"/>
      <w:lvlText w:val="%1."/>
      <w:lvlJc w:val="left"/>
      <w:pPr>
        <w:ind w:left="720" w:hanging="360"/>
      </w:pPr>
    </w:lvl>
    <w:lvl w:ilvl="1" w:tplc="B2805C90">
      <w:start w:val="1"/>
      <w:numFmt w:val="lowerLetter"/>
      <w:lvlText w:val="%2."/>
      <w:lvlJc w:val="left"/>
      <w:pPr>
        <w:ind w:left="1440" w:hanging="360"/>
      </w:pPr>
    </w:lvl>
    <w:lvl w:ilvl="2" w:tplc="9006E07A">
      <w:start w:val="1"/>
      <w:numFmt w:val="lowerRoman"/>
      <w:lvlText w:val="%3."/>
      <w:lvlJc w:val="right"/>
      <w:pPr>
        <w:ind w:left="2160" w:hanging="180"/>
      </w:pPr>
    </w:lvl>
    <w:lvl w:ilvl="3" w:tplc="57D60B5E">
      <w:start w:val="1"/>
      <w:numFmt w:val="decimal"/>
      <w:lvlText w:val="%4."/>
      <w:lvlJc w:val="left"/>
      <w:pPr>
        <w:ind w:left="2880" w:hanging="360"/>
      </w:pPr>
    </w:lvl>
    <w:lvl w:ilvl="4" w:tplc="723E372E">
      <w:start w:val="1"/>
      <w:numFmt w:val="lowerLetter"/>
      <w:lvlText w:val="%5."/>
      <w:lvlJc w:val="left"/>
      <w:pPr>
        <w:ind w:left="3600" w:hanging="360"/>
      </w:pPr>
    </w:lvl>
    <w:lvl w:ilvl="5" w:tplc="68223B80">
      <w:start w:val="1"/>
      <w:numFmt w:val="lowerRoman"/>
      <w:lvlText w:val="%6."/>
      <w:lvlJc w:val="right"/>
      <w:pPr>
        <w:ind w:left="4320" w:hanging="180"/>
      </w:pPr>
    </w:lvl>
    <w:lvl w:ilvl="6" w:tplc="EDD008D8">
      <w:start w:val="1"/>
      <w:numFmt w:val="decimal"/>
      <w:lvlText w:val="%7."/>
      <w:lvlJc w:val="left"/>
      <w:pPr>
        <w:ind w:left="5040" w:hanging="360"/>
      </w:pPr>
    </w:lvl>
    <w:lvl w:ilvl="7" w:tplc="BBDEBA54">
      <w:start w:val="1"/>
      <w:numFmt w:val="lowerLetter"/>
      <w:lvlText w:val="%8."/>
      <w:lvlJc w:val="left"/>
      <w:pPr>
        <w:ind w:left="5760" w:hanging="360"/>
      </w:pPr>
    </w:lvl>
    <w:lvl w:ilvl="8" w:tplc="D4740948">
      <w:start w:val="1"/>
      <w:numFmt w:val="lowerRoman"/>
      <w:lvlText w:val="%9."/>
      <w:lvlJc w:val="right"/>
      <w:pPr>
        <w:ind w:left="6480" w:hanging="180"/>
      </w:pPr>
    </w:lvl>
  </w:abstractNum>
  <w:abstractNum w:abstractNumId="13" w15:restartNumberingAfterBreak="0">
    <w:nsid w:val="55403E08"/>
    <w:multiLevelType w:val="multilevel"/>
    <w:tmpl w:val="D7649A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BDF3B4D"/>
    <w:multiLevelType w:val="multilevel"/>
    <w:tmpl w:val="71BEF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B11566"/>
    <w:multiLevelType w:val="hybridMultilevel"/>
    <w:tmpl w:val="2918EC9E"/>
    <w:lvl w:ilvl="0" w:tplc="2E70CB68">
      <w:start w:val="1"/>
      <w:numFmt w:val="bullet"/>
      <w:lvlText w:val=""/>
      <w:lvlJc w:val="left"/>
      <w:pPr>
        <w:ind w:left="720" w:hanging="360"/>
      </w:pPr>
      <w:rPr>
        <w:rFonts w:hint="default" w:ascii="Symbol" w:hAnsi="Symbol"/>
      </w:rPr>
    </w:lvl>
    <w:lvl w:ilvl="1" w:tplc="0B82B712" w:tentative="1">
      <w:start w:val="1"/>
      <w:numFmt w:val="bullet"/>
      <w:lvlText w:val="o"/>
      <w:lvlJc w:val="left"/>
      <w:pPr>
        <w:ind w:left="1440" w:hanging="360"/>
      </w:pPr>
      <w:rPr>
        <w:rFonts w:hint="default" w:ascii="Courier New" w:hAnsi="Courier New"/>
      </w:rPr>
    </w:lvl>
    <w:lvl w:ilvl="2" w:tplc="AA8A0E7C" w:tentative="1">
      <w:start w:val="1"/>
      <w:numFmt w:val="bullet"/>
      <w:lvlText w:val=""/>
      <w:lvlJc w:val="left"/>
      <w:pPr>
        <w:ind w:left="2160" w:hanging="360"/>
      </w:pPr>
      <w:rPr>
        <w:rFonts w:hint="default" w:ascii="Wingdings" w:hAnsi="Wingdings"/>
      </w:rPr>
    </w:lvl>
    <w:lvl w:ilvl="3" w:tplc="232257B0" w:tentative="1">
      <w:start w:val="1"/>
      <w:numFmt w:val="bullet"/>
      <w:lvlText w:val=""/>
      <w:lvlJc w:val="left"/>
      <w:pPr>
        <w:ind w:left="2880" w:hanging="360"/>
      </w:pPr>
      <w:rPr>
        <w:rFonts w:hint="default" w:ascii="Symbol" w:hAnsi="Symbol"/>
      </w:rPr>
    </w:lvl>
    <w:lvl w:ilvl="4" w:tplc="6B120948" w:tentative="1">
      <w:start w:val="1"/>
      <w:numFmt w:val="bullet"/>
      <w:lvlText w:val="o"/>
      <w:lvlJc w:val="left"/>
      <w:pPr>
        <w:ind w:left="3600" w:hanging="360"/>
      </w:pPr>
      <w:rPr>
        <w:rFonts w:hint="default" w:ascii="Courier New" w:hAnsi="Courier New"/>
      </w:rPr>
    </w:lvl>
    <w:lvl w:ilvl="5" w:tplc="8D9899E4" w:tentative="1">
      <w:start w:val="1"/>
      <w:numFmt w:val="bullet"/>
      <w:lvlText w:val=""/>
      <w:lvlJc w:val="left"/>
      <w:pPr>
        <w:ind w:left="4320" w:hanging="360"/>
      </w:pPr>
      <w:rPr>
        <w:rFonts w:hint="default" w:ascii="Wingdings" w:hAnsi="Wingdings"/>
      </w:rPr>
    </w:lvl>
    <w:lvl w:ilvl="6" w:tplc="2670F9C2" w:tentative="1">
      <w:start w:val="1"/>
      <w:numFmt w:val="bullet"/>
      <w:lvlText w:val=""/>
      <w:lvlJc w:val="left"/>
      <w:pPr>
        <w:ind w:left="5040" w:hanging="360"/>
      </w:pPr>
      <w:rPr>
        <w:rFonts w:hint="default" w:ascii="Symbol" w:hAnsi="Symbol"/>
      </w:rPr>
    </w:lvl>
    <w:lvl w:ilvl="7" w:tplc="4F0C0CA4" w:tentative="1">
      <w:start w:val="1"/>
      <w:numFmt w:val="bullet"/>
      <w:lvlText w:val="o"/>
      <w:lvlJc w:val="left"/>
      <w:pPr>
        <w:ind w:left="5760" w:hanging="360"/>
      </w:pPr>
      <w:rPr>
        <w:rFonts w:hint="default" w:ascii="Courier New" w:hAnsi="Courier New"/>
      </w:rPr>
    </w:lvl>
    <w:lvl w:ilvl="8" w:tplc="420070D8" w:tentative="1">
      <w:start w:val="1"/>
      <w:numFmt w:val="bullet"/>
      <w:lvlText w:val=""/>
      <w:lvlJc w:val="left"/>
      <w:pPr>
        <w:ind w:left="6480" w:hanging="360"/>
      </w:pPr>
      <w:rPr>
        <w:rFonts w:hint="default" w:ascii="Wingdings" w:hAnsi="Wingdings"/>
      </w:rPr>
    </w:lvl>
  </w:abstractNum>
  <w:abstractNum w:abstractNumId="16" w15:restartNumberingAfterBreak="0">
    <w:nsid w:val="798F77FD"/>
    <w:multiLevelType w:val="hybridMultilevel"/>
    <w:tmpl w:val="90768332"/>
    <w:lvl w:ilvl="0" w:tplc="B46E7E16">
      <w:start w:val="1"/>
      <w:numFmt w:val="bullet"/>
      <w:lvlText w:val=""/>
      <w:lvlJc w:val="left"/>
      <w:pPr>
        <w:ind w:left="720" w:hanging="360"/>
      </w:pPr>
      <w:rPr>
        <w:rFonts w:hint="default" w:ascii="Symbol" w:hAnsi="Symbol"/>
      </w:rPr>
    </w:lvl>
    <w:lvl w:ilvl="1" w:tplc="83887368">
      <w:start w:val="1"/>
      <w:numFmt w:val="bullet"/>
      <w:lvlText w:val="o"/>
      <w:lvlJc w:val="left"/>
      <w:pPr>
        <w:ind w:left="1440" w:hanging="360"/>
      </w:pPr>
      <w:rPr>
        <w:rFonts w:hint="default" w:ascii="Courier New" w:hAnsi="Courier New"/>
      </w:rPr>
    </w:lvl>
    <w:lvl w:ilvl="2" w:tplc="BE44BFFA">
      <w:start w:val="1"/>
      <w:numFmt w:val="bullet"/>
      <w:lvlText w:val=""/>
      <w:lvlJc w:val="left"/>
      <w:pPr>
        <w:ind w:left="2160" w:hanging="360"/>
      </w:pPr>
      <w:rPr>
        <w:rFonts w:hint="default" w:ascii="Wingdings" w:hAnsi="Wingdings"/>
      </w:rPr>
    </w:lvl>
    <w:lvl w:ilvl="3" w:tplc="561A99D4">
      <w:start w:val="1"/>
      <w:numFmt w:val="bullet"/>
      <w:lvlText w:val=""/>
      <w:lvlJc w:val="left"/>
      <w:pPr>
        <w:ind w:left="2880" w:hanging="360"/>
      </w:pPr>
      <w:rPr>
        <w:rFonts w:hint="default" w:ascii="Symbol" w:hAnsi="Symbol"/>
      </w:rPr>
    </w:lvl>
    <w:lvl w:ilvl="4" w:tplc="D72404DC">
      <w:start w:val="1"/>
      <w:numFmt w:val="bullet"/>
      <w:lvlText w:val="o"/>
      <w:lvlJc w:val="left"/>
      <w:pPr>
        <w:ind w:left="3600" w:hanging="360"/>
      </w:pPr>
      <w:rPr>
        <w:rFonts w:hint="default" w:ascii="Courier New" w:hAnsi="Courier New"/>
      </w:rPr>
    </w:lvl>
    <w:lvl w:ilvl="5" w:tplc="EA78B8C2">
      <w:start w:val="1"/>
      <w:numFmt w:val="bullet"/>
      <w:lvlText w:val=""/>
      <w:lvlJc w:val="left"/>
      <w:pPr>
        <w:ind w:left="4320" w:hanging="360"/>
      </w:pPr>
      <w:rPr>
        <w:rFonts w:hint="default" w:ascii="Wingdings" w:hAnsi="Wingdings"/>
      </w:rPr>
    </w:lvl>
    <w:lvl w:ilvl="6" w:tplc="7DC8D75C">
      <w:start w:val="1"/>
      <w:numFmt w:val="bullet"/>
      <w:lvlText w:val=""/>
      <w:lvlJc w:val="left"/>
      <w:pPr>
        <w:ind w:left="5040" w:hanging="360"/>
      </w:pPr>
      <w:rPr>
        <w:rFonts w:hint="default" w:ascii="Symbol" w:hAnsi="Symbol"/>
      </w:rPr>
    </w:lvl>
    <w:lvl w:ilvl="7" w:tplc="6BAE7B7E">
      <w:start w:val="1"/>
      <w:numFmt w:val="bullet"/>
      <w:lvlText w:val="o"/>
      <w:lvlJc w:val="left"/>
      <w:pPr>
        <w:ind w:left="5760" w:hanging="360"/>
      </w:pPr>
      <w:rPr>
        <w:rFonts w:hint="default" w:ascii="Courier New" w:hAnsi="Courier New"/>
      </w:rPr>
    </w:lvl>
    <w:lvl w:ilvl="8" w:tplc="08481F72">
      <w:start w:val="1"/>
      <w:numFmt w:val="bullet"/>
      <w:lvlText w:val=""/>
      <w:lvlJc w:val="left"/>
      <w:pPr>
        <w:ind w:left="6480" w:hanging="360"/>
      </w:pPr>
      <w:rPr>
        <w:rFonts w:hint="default" w:ascii="Wingdings" w:hAnsi="Wingdings"/>
      </w:rPr>
    </w:lvl>
  </w:abstractNum>
  <w:num w:numId="1" w16cid:durableId="1737438070">
    <w:abstractNumId w:val="8"/>
  </w:num>
  <w:num w:numId="2" w16cid:durableId="158156908">
    <w:abstractNumId w:val="16"/>
  </w:num>
  <w:num w:numId="3" w16cid:durableId="1003900319">
    <w:abstractNumId w:val="11"/>
  </w:num>
  <w:num w:numId="4" w16cid:durableId="1051459600">
    <w:abstractNumId w:val="7"/>
  </w:num>
  <w:num w:numId="5" w16cid:durableId="328144520">
    <w:abstractNumId w:val="12"/>
  </w:num>
  <w:num w:numId="6" w16cid:durableId="652753568">
    <w:abstractNumId w:val="0"/>
  </w:num>
  <w:num w:numId="7" w16cid:durableId="722217379">
    <w:abstractNumId w:val="9"/>
  </w:num>
  <w:num w:numId="8" w16cid:durableId="1491676518">
    <w:abstractNumId w:val="3"/>
  </w:num>
  <w:num w:numId="9" w16cid:durableId="217401604">
    <w:abstractNumId w:val="6"/>
  </w:num>
  <w:num w:numId="10" w16cid:durableId="2019041506">
    <w:abstractNumId w:val="14"/>
  </w:num>
  <w:num w:numId="11" w16cid:durableId="374233354">
    <w:abstractNumId w:val="2"/>
  </w:num>
  <w:num w:numId="12" w16cid:durableId="851188343">
    <w:abstractNumId w:val="5"/>
  </w:num>
  <w:num w:numId="13" w16cid:durableId="1302921670">
    <w:abstractNumId w:val="13"/>
  </w:num>
  <w:num w:numId="14" w16cid:durableId="915094756">
    <w:abstractNumId w:val="10"/>
  </w:num>
  <w:num w:numId="15" w16cid:durableId="1247619030">
    <w:abstractNumId w:val="15"/>
  </w:num>
  <w:num w:numId="16" w16cid:durableId="1359039935">
    <w:abstractNumId w:val="1"/>
  </w:num>
  <w:num w:numId="17" w16cid:durableId="10914623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9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F85"/>
    <w:rsid w:val="00021D13"/>
    <w:rsid w:val="00031AE8"/>
    <w:rsid w:val="0003706F"/>
    <w:rsid w:val="00074783"/>
    <w:rsid w:val="0013944E"/>
    <w:rsid w:val="00155C9D"/>
    <w:rsid w:val="00170251"/>
    <w:rsid w:val="00173EDB"/>
    <w:rsid w:val="00174B45"/>
    <w:rsid w:val="00180155"/>
    <w:rsid w:val="001A63F0"/>
    <w:rsid w:val="001A7CB0"/>
    <w:rsid w:val="001D1F62"/>
    <w:rsid w:val="001D24AA"/>
    <w:rsid w:val="00202B40"/>
    <w:rsid w:val="0020494F"/>
    <w:rsid w:val="00225DE3"/>
    <w:rsid w:val="00245CF4"/>
    <w:rsid w:val="00264DE0"/>
    <w:rsid w:val="002818AA"/>
    <w:rsid w:val="00285883"/>
    <w:rsid w:val="002B0D6D"/>
    <w:rsid w:val="002B4967"/>
    <w:rsid w:val="00306376"/>
    <w:rsid w:val="003434A5"/>
    <w:rsid w:val="00371B2C"/>
    <w:rsid w:val="0038124B"/>
    <w:rsid w:val="00396B04"/>
    <w:rsid w:val="003A7F80"/>
    <w:rsid w:val="003D296B"/>
    <w:rsid w:val="00402E61"/>
    <w:rsid w:val="00414F85"/>
    <w:rsid w:val="00452D2A"/>
    <w:rsid w:val="00456C62"/>
    <w:rsid w:val="00462BF6"/>
    <w:rsid w:val="00494D70"/>
    <w:rsid w:val="004A3022"/>
    <w:rsid w:val="00524BAB"/>
    <w:rsid w:val="005274D2"/>
    <w:rsid w:val="00530A2A"/>
    <w:rsid w:val="005321B4"/>
    <w:rsid w:val="00547E74"/>
    <w:rsid w:val="00590255"/>
    <w:rsid w:val="005A51CD"/>
    <w:rsid w:val="005D0D4D"/>
    <w:rsid w:val="005F01DF"/>
    <w:rsid w:val="0060709D"/>
    <w:rsid w:val="00612ED7"/>
    <w:rsid w:val="0062661E"/>
    <w:rsid w:val="0063515A"/>
    <w:rsid w:val="0067057D"/>
    <w:rsid w:val="00677286"/>
    <w:rsid w:val="006905B4"/>
    <w:rsid w:val="00703E8B"/>
    <w:rsid w:val="00704A0E"/>
    <w:rsid w:val="00712D75"/>
    <w:rsid w:val="007410FB"/>
    <w:rsid w:val="00756029"/>
    <w:rsid w:val="007620BA"/>
    <w:rsid w:val="00781D17"/>
    <w:rsid w:val="007A0DFE"/>
    <w:rsid w:val="007A6E80"/>
    <w:rsid w:val="007C0906"/>
    <w:rsid w:val="007D2A35"/>
    <w:rsid w:val="00826223"/>
    <w:rsid w:val="0083756A"/>
    <w:rsid w:val="00861A31"/>
    <w:rsid w:val="00884ECE"/>
    <w:rsid w:val="008A2EF4"/>
    <w:rsid w:val="008A4BCB"/>
    <w:rsid w:val="008B0B2E"/>
    <w:rsid w:val="008D0393"/>
    <w:rsid w:val="008D04F8"/>
    <w:rsid w:val="008D6D12"/>
    <w:rsid w:val="00962EBC"/>
    <w:rsid w:val="00992ECE"/>
    <w:rsid w:val="009B0F03"/>
    <w:rsid w:val="009B1452"/>
    <w:rsid w:val="009C2A52"/>
    <w:rsid w:val="009E60FE"/>
    <w:rsid w:val="00AA48BD"/>
    <w:rsid w:val="00AB6C19"/>
    <w:rsid w:val="00AC32B4"/>
    <w:rsid w:val="00AE46A6"/>
    <w:rsid w:val="00B14275"/>
    <w:rsid w:val="00B23A71"/>
    <w:rsid w:val="00B615FA"/>
    <w:rsid w:val="00B801AE"/>
    <w:rsid w:val="00B82331"/>
    <w:rsid w:val="00BC208E"/>
    <w:rsid w:val="00BD16CE"/>
    <w:rsid w:val="00BE519D"/>
    <w:rsid w:val="00BF11EA"/>
    <w:rsid w:val="00BF2876"/>
    <w:rsid w:val="00C1097C"/>
    <w:rsid w:val="00C45649"/>
    <w:rsid w:val="00C70C03"/>
    <w:rsid w:val="00CA0B5A"/>
    <w:rsid w:val="00CB276A"/>
    <w:rsid w:val="00CB645E"/>
    <w:rsid w:val="00CC102F"/>
    <w:rsid w:val="00CC1570"/>
    <w:rsid w:val="00CC3323"/>
    <w:rsid w:val="00CC6AB7"/>
    <w:rsid w:val="00D06F1F"/>
    <w:rsid w:val="00D07C9C"/>
    <w:rsid w:val="00D14612"/>
    <w:rsid w:val="00D2451E"/>
    <w:rsid w:val="00D901A3"/>
    <w:rsid w:val="00D91A44"/>
    <w:rsid w:val="00DA7394"/>
    <w:rsid w:val="00DC149D"/>
    <w:rsid w:val="00DF6C13"/>
    <w:rsid w:val="00E040CD"/>
    <w:rsid w:val="00E06465"/>
    <w:rsid w:val="00E2121C"/>
    <w:rsid w:val="00E47FB4"/>
    <w:rsid w:val="00E5128A"/>
    <w:rsid w:val="00E53A26"/>
    <w:rsid w:val="00E742D1"/>
    <w:rsid w:val="00EA664C"/>
    <w:rsid w:val="00EC57ED"/>
    <w:rsid w:val="00ED7655"/>
    <w:rsid w:val="00EE6CEC"/>
    <w:rsid w:val="00EE7F18"/>
    <w:rsid w:val="00EF4433"/>
    <w:rsid w:val="00F026D0"/>
    <w:rsid w:val="00F5189F"/>
    <w:rsid w:val="00F52253"/>
    <w:rsid w:val="00F90522"/>
    <w:rsid w:val="00F95920"/>
    <w:rsid w:val="00FE574F"/>
    <w:rsid w:val="05676783"/>
    <w:rsid w:val="060754CE"/>
    <w:rsid w:val="09D16A04"/>
    <w:rsid w:val="0AF0D341"/>
    <w:rsid w:val="0CB4BD5C"/>
    <w:rsid w:val="1256056E"/>
    <w:rsid w:val="17C752DA"/>
    <w:rsid w:val="19CFDFEC"/>
    <w:rsid w:val="1BF12C52"/>
    <w:rsid w:val="1DB429F1"/>
    <w:rsid w:val="2174D428"/>
    <w:rsid w:val="21B47DBF"/>
    <w:rsid w:val="23AEB566"/>
    <w:rsid w:val="2C631305"/>
    <w:rsid w:val="2D41F952"/>
    <w:rsid w:val="315ECE08"/>
    <w:rsid w:val="35EA3785"/>
    <w:rsid w:val="3CA3A9E2"/>
    <w:rsid w:val="41E3AAC6"/>
    <w:rsid w:val="41F2ED68"/>
    <w:rsid w:val="42009E98"/>
    <w:rsid w:val="422793D3"/>
    <w:rsid w:val="42740742"/>
    <w:rsid w:val="471814CF"/>
    <w:rsid w:val="48835B44"/>
    <w:rsid w:val="4C87EF37"/>
    <w:rsid w:val="51628C13"/>
    <w:rsid w:val="5239B30E"/>
    <w:rsid w:val="542C532B"/>
    <w:rsid w:val="5BB987F0"/>
    <w:rsid w:val="61419A20"/>
    <w:rsid w:val="61F4349D"/>
    <w:rsid w:val="62ADC851"/>
    <w:rsid w:val="6427CDAB"/>
    <w:rsid w:val="64880C8B"/>
    <w:rsid w:val="6729277A"/>
    <w:rsid w:val="69A24658"/>
    <w:rsid w:val="6B7ABD1C"/>
    <w:rsid w:val="74D10F66"/>
    <w:rsid w:val="75616272"/>
    <w:rsid w:val="7ADB07FB"/>
    <w:rsid w:val="7F1296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FD7CA"/>
  <w15:chartTrackingRefBased/>
  <w15:docId w15:val="{E98B1A68-5C84-4801-99BC-2D6685779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B1452"/>
  </w:style>
  <w:style w:type="paragraph" w:styleId="Heading1">
    <w:name w:val="heading 1"/>
    <w:basedOn w:val="Normal"/>
    <w:next w:val="Normal"/>
    <w:link w:val="Heading1Char"/>
    <w:uiPriority w:val="9"/>
    <w:qFormat/>
    <w:rsid w:val="00414F8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4F8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4F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4F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4F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4F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4F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4F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4F8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14F8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14F8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14F8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14F8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14F8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14F8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14F8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14F8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14F85"/>
    <w:rPr>
      <w:rFonts w:eastAsiaTheme="majorEastAsia" w:cstheme="majorBidi"/>
      <w:color w:val="272727" w:themeColor="text1" w:themeTint="D8"/>
    </w:rPr>
  </w:style>
  <w:style w:type="paragraph" w:styleId="Title">
    <w:name w:val="Title"/>
    <w:basedOn w:val="Normal"/>
    <w:next w:val="Normal"/>
    <w:link w:val="TitleChar"/>
    <w:uiPriority w:val="10"/>
    <w:qFormat/>
    <w:rsid w:val="00414F8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14F8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14F8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14F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F85"/>
    <w:pPr>
      <w:spacing w:before="160"/>
      <w:jc w:val="center"/>
    </w:pPr>
    <w:rPr>
      <w:i/>
      <w:iCs/>
      <w:color w:val="404040" w:themeColor="text1" w:themeTint="BF"/>
    </w:rPr>
  </w:style>
  <w:style w:type="character" w:styleId="QuoteChar" w:customStyle="1">
    <w:name w:val="Quote Char"/>
    <w:basedOn w:val="DefaultParagraphFont"/>
    <w:link w:val="Quote"/>
    <w:uiPriority w:val="29"/>
    <w:rsid w:val="00414F85"/>
    <w:rPr>
      <w:i/>
      <w:iCs/>
      <w:color w:val="404040" w:themeColor="text1" w:themeTint="BF"/>
    </w:rPr>
  </w:style>
  <w:style w:type="paragraph" w:styleId="ListParagraph">
    <w:name w:val="List Paragraph"/>
    <w:basedOn w:val="Normal"/>
    <w:uiPriority w:val="34"/>
    <w:qFormat/>
    <w:rsid w:val="00414F85"/>
    <w:pPr>
      <w:ind w:left="720"/>
      <w:contextualSpacing/>
    </w:pPr>
  </w:style>
  <w:style w:type="character" w:styleId="IntenseEmphasis">
    <w:name w:val="Intense Emphasis"/>
    <w:basedOn w:val="DefaultParagraphFont"/>
    <w:uiPriority w:val="21"/>
    <w:qFormat/>
    <w:rsid w:val="00414F85"/>
    <w:rPr>
      <w:i/>
      <w:iCs/>
      <w:color w:val="0F4761" w:themeColor="accent1" w:themeShade="BF"/>
    </w:rPr>
  </w:style>
  <w:style w:type="paragraph" w:styleId="IntenseQuote">
    <w:name w:val="Intense Quote"/>
    <w:basedOn w:val="Normal"/>
    <w:next w:val="Normal"/>
    <w:link w:val="IntenseQuoteChar"/>
    <w:uiPriority w:val="30"/>
    <w:qFormat/>
    <w:rsid w:val="00414F8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14F85"/>
    <w:rPr>
      <w:i/>
      <w:iCs/>
      <w:color w:val="0F4761" w:themeColor="accent1" w:themeShade="BF"/>
    </w:rPr>
  </w:style>
  <w:style w:type="character" w:styleId="IntenseReference">
    <w:name w:val="Intense Reference"/>
    <w:basedOn w:val="DefaultParagraphFont"/>
    <w:uiPriority w:val="32"/>
    <w:qFormat/>
    <w:rsid w:val="00414F85"/>
    <w:rPr>
      <w:b/>
      <w:bCs/>
      <w:smallCaps/>
      <w:color w:val="0F4761" w:themeColor="accent1" w:themeShade="BF"/>
      <w:spacing w:val="5"/>
    </w:rPr>
  </w:style>
  <w:style w:type="paragraph" w:styleId="NormalWeb">
    <w:name w:val="Normal (Web)"/>
    <w:basedOn w:val="Normal"/>
    <w:uiPriority w:val="99"/>
    <w:unhideWhenUsed/>
    <w:rsid w:val="00B615FA"/>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Strong">
    <w:name w:val="Strong"/>
    <w:basedOn w:val="DefaultParagraphFont"/>
    <w:uiPriority w:val="22"/>
    <w:qFormat/>
    <w:rsid w:val="00B615FA"/>
    <w:rPr>
      <w:b/>
      <w:bCs/>
    </w:rPr>
  </w:style>
  <w:style w:type="character" w:styleId="Hyperlink">
    <w:name w:val="Hyperlink"/>
    <w:basedOn w:val="DefaultParagraphFont"/>
    <w:uiPriority w:val="99"/>
    <w:unhideWhenUsed/>
    <w:rsid w:val="00C1097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4124">
      <w:bodyDiv w:val="1"/>
      <w:marLeft w:val="0"/>
      <w:marRight w:val="0"/>
      <w:marTop w:val="0"/>
      <w:marBottom w:val="0"/>
      <w:divBdr>
        <w:top w:val="none" w:sz="0" w:space="0" w:color="auto"/>
        <w:left w:val="none" w:sz="0" w:space="0" w:color="auto"/>
        <w:bottom w:val="none" w:sz="0" w:space="0" w:color="auto"/>
        <w:right w:val="none" w:sz="0" w:space="0" w:color="auto"/>
      </w:divBdr>
    </w:div>
    <w:div w:id="65417731">
      <w:bodyDiv w:val="1"/>
      <w:marLeft w:val="0"/>
      <w:marRight w:val="0"/>
      <w:marTop w:val="0"/>
      <w:marBottom w:val="0"/>
      <w:divBdr>
        <w:top w:val="none" w:sz="0" w:space="0" w:color="auto"/>
        <w:left w:val="none" w:sz="0" w:space="0" w:color="auto"/>
        <w:bottom w:val="none" w:sz="0" w:space="0" w:color="auto"/>
        <w:right w:val="none" w:sz="0" w:space="0" w:color="auto"/>
      </w:divBdr>
    </w:div>
    <w:div w:id="102383255">
      <w:bodyDiv w:val="1"/>
      <w:marLeft w:val="0"/>
      <w:marRight w:val="0"/>
      <w:marTop w:val="0"/>
      <w:marBottom w:val="0"/>
      <w:divBdr>
        <w:top w:val="none" w:sz="0" w:space="0" w:color="auto"/>
        <w:left w:val="none" w:sz="0" w:space="0" w:color="auto"/>
        <w:bottom w:val="none" w:sz="0" w:space="0" w:color="auto"/>
        <w:right w:val="none" w:sz="0" w:space="0" w:color="auto"/>
      </w:divBdr>
    </w:div>
    <w:div w:id="151263910">
      <w:bodyDiv w:val="1"/>
      <w:marLeft w:val="0"/>
      <w:marRight w:val="0"/>
      <w:marTop w:val="0"/>
      <w:marBottom w:val="0"/>
      <w:divBdr>
        <w:top w:val="none" w:sz="0" w:space="0" w:color="auto"/>
        <w:left w:val="none" w:sz="0" w:space="0" w:color="auto"/>
        <w:bottom w:val="none" w:sz="0" w:space="0" w:color="auto"/>
        <w:right w:val="none" w:sz="0" w:space="0" w:color="auto"/>
      </w:divBdr>
    </w:div>
    <w:div w:id="181476230">
      <w:bodyDiv w:val="1"/>
      <w:marLeft w:val="0"/>
      <w:marRight w:val="0"/>
      <w:marTop w:val="0"/>
      <w:marBottom w:val="0"/>
      <w:divBdr>
        <w:top w:val="none" w:sz="0" w:space="0" w:color="auto"/>
        <w:left w:val="none" w:sz="0" w:space="0" w:color="auto"/>
        <w:bottom w:val="none" w:sz="0" w:space="0" w:color="auto"/>
        <w:right w:val="none" w:sz="0" w:space="0" w:color="auto"/>
      </w:divBdr>
    </w:div>
    <w:div w:id="465778806">
      <w:bodyDiv w:val="1"/>
      <w:marLeft w:val="0"/>
      <w:marRight w:val="0"/>
      <w:marTop w:val="0"/>
      <w:marBottom w:val="0"/>
      <w:divBdr>
        <w:top w:val="none" w:sz="0" w:space="0" w:color="auto"/>
        <w:left w:val="none" w:sz="0" w:space="0" w:color="auto"/>
        <w:bottom w:val="none" w:sz="0" w:space="0" w:color="auto"/>
        <w:right w:val="none" w:sz="0" w:space="0" w:color="auto"/>
      </w:divBdr>
    </w:div>
    <w:div w:id="585654089">
      <w:bodyDiv w:val="1"/>
      <w:marLeft w:val="0"/>
      <w:marRight w:val="0"/>
      <w:marTop w:val="0"/>
      <w:marBottom w:val="0"/>
      <w:divBdr>
        <w:top w:val="none" w:sz="0" w:space="0" w:color="auto"/>
        <w:left w:val="none" w:sz="0" w:space="0" w:color="auto"/>
        <w:bottom w:val="none" w:sz="0" w:space="0" w:color="auto"/>
        <w:right w:val="none" w:sz="0" w:space="0" w:color="auto"/>
      </w:divBdr>
    </w:div>
    <w:div w:id="593056745">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701899860">
      <w:bodyDiv w:val="1"/>
      <w:marLeft w:val="0"/>
      <w:marRight w:val="0"/>
      <w:marTop w:val="0"/>
      <w:marBottom w:val="0"/>
      <w:divBdr>
        <w:top w:val="none" w:sz="0" w:space="0" w:color="auto"/>
        <w:left w:val="none" w:sz="0" w:space="0" w:color="auto"/>
        <w:bottom w:val="none" w:sz="0" w:space="0" w:color="auto"/>
        <w:right w:val="none" w:sz="0" w:space="0" w:color="auto"/>
      </w:divBdr>
    </w:div>
    <w:div w:id="908463632">
      <w:bodyDiv w:val="1"/>
      <w:marLeft w:val="0"/>
      <w:marRight w:val="0"/>
      <w:marTop w:val="0"/>
      <w:marBottom w:val="0"/>
      <w:divBdr>
        <w:top w:val="none" w:sz="0" w:space="0" w:color="auto"/>
        <w:left w:val="none" w:sz="0" w:space="0" w:color="auto"/>
        <w:bottom w:val="none" w:sz="0" w:space="0" w:color="auto"/>
        <w:right w:val="none" w:sz="0" w:space="0" w:color="auto"/>
      </w:divBdr>
    </w:div>
    <w:div w:id="945894065">
      <w:bodyDiv w:val="1"/>
      <w:marLeft w:val="0"/>
      <w:marRight w:val="0"/>
      <w:marTop w:val="0"/>
      <w:marBottom w:val="0"/>
      <w:divBdr>
        <w:top w:val="none" w:sz="0" w:space="0" w:color="auto"/>
        <w:left w:val="none" w:sz="0" w:space="0" w:color="auto"/>
        <w:bottom w:val="none" w:sz="0" w:space="0" w:color="auto"/>
        <w:right w:val="none" w:sz="0" w:space="0" w:color="auto"/>
      </w:divBdr>
    </w:div>
    <w:div w:id="1115099993">
      <w:bodyDiv w:val="1"/>
      <w:marLeft w:val="0"/>
      <w:marRight w:val="0"/>
      <w:marTop w:val="0"/>
      <w:marBottom w:val="0"/>
      <w:divBdr>
        <w:top w:val="none" w:sz="0" w:space="0" w:color="auto"/>
        <w:left w:val="none" w:sz="0" w:space="0" w:color="auto"/>
        <w:bottom w:val="none" w:sz="0" w:space="0" w:color="auto"/>
        <w:right w:val="none" w:sz="0" w:space="0" w:color="auto"/>
      </w:divBdr>
    </w:div>
    <w:div w:id="1412047192">
      <w:bodyDiv w:val="1"/>
      <w:marLeft w:val="0"/>
      <w:marRight w:val="0"/>
      <w:marTop w:val="0"/>
      <w:marBottom w:val="0"/>
      <w:divBdr>
        <w:top w:val="none" w:sz="0" w:space="0" w:color="auto"/>
        <w:left w:val="none" w:sz="0" w:space="0" w:color="auto"/>
        <w:bottom w:val="none" w:sz="0" w:space="0" w:color="auto"/>
        <w:right w:val="none" w:sz="0" w:space="0" w:color="auto"/>
      </w:divBdr>
    </w:div>
    <w:div w:id="1667517971">
      <w:bodyDiv w:val="1"/>
      <w:marLeft w:val="0"/>
      <w:marRight w:val="0"/>
      <w:marTop w:val="0"/>
      <w:marBottom w:val="0"/>
      <w:divBdr>
        <w:top w:val="none" w:sz="0" w:space="0" w:color="auto"/>
        <w:left w:val="none" w:sz="0" w:space="0" w:color="auto"/>
        <w:bottom w:val="none" w:sz="0" w:space="0" w:color="auto"/>
        <w:right w:val="none" w:sz="0" w:space="0" w:color="auto"/>
      </w:divBdr>
    </w:div>
    <w:div w:id="1746875313">
      <w:bodyDiv w:val="1"/>
      <w:marLeft w:val="0"/>
      <w:marRight w:val="0"/>
      <w:marTop w:val="0"/>
      <w:marBottom w:val="0"/>
      <w:divBdr>
        <w:top w:val="none" w:sz="0" w:space="0" w:color="auto"/>
        <w:left w:val="none" w:sz="0" w:space="0" w:color="auto"/>
        <w:bottom w:val="none" w:sz="0" w:space="0" w:color="auto"/>
        <w:right w:val="none" w:sz="0" w:space="0" w:color="auto"/>
      </w:divBdr>
    </w:div>
    <w:div w:id="1781605334">
      <w:bodyDiv w:val="1"/>
      <w:marLeft w:val="0"/>
      <w:marRight w:val="0"/>
      <w:marTop w:val="0"/>
      <w:marBottom w:val="0"/>
      <w:divBdr>
        <w:top w:val="none" w:sz="0" w:space="0" w:color="auto"/>
        <w:left w:val="none" w:sz="0" w:space="0" w:color="auto"/>
        <w:bottom w:val="none" w:sz="0" w:space="0" w:color="auto"/>
        <w:right w:val="none" w:sz="0" w:space="0" w:color="auto"/>
      </w:divBdr>
    </w:div>
    <w:div w:id="1862013970">
      <w:bodyDiv w:val="1"/>
      <w:marLeft w:val="0"/>
      <w:marRight w:val="0"/>
      <w:marTop w:val="0"/>
      <w:marBottom w:val="0"/>
      <w:divBdr>
        <w:top w:val="none" w:sz="0" w:space="0" w:color="auto"/>
        <w:left w:val="none" w:sz="0" w:space="0" w:color="auto"/>
        <w:bottom w:val="none" w:sz="0" w:space="0" w:color="auto"/>
        <w:right w:val="none" w:sz="0" w:space="0" w:color="auto"/>
      </w:divBdr>
    </w:div>
    <w:div w:id="1866482435">
      <w:bodyDiv w:val="1"/>
      <w:marLeft w:val="0"/>
      <w:marRight w:val="0"/>
      <w:marTop w:val="0"/>
      <w:marBottom w:val="0"/>
      <w:divBdr>
        <w:top w:val="none" w:sz="0" w:space="0" w:color="auto"/>
        <w:left w:val="none" w:sz="0" w:space="0" w:color="auto"/>
        <w:bottom w:val="none" w:sz="0" w:space="0" w:color="auto"/>
        <w:right w:val="none" w:sz="0" w:space="0" w:color="auto"/>
      </w:divBdr>
    </w:div>
    <w:div w:id="1895434699">
      <w:bodyDiv w:val="1"/>
      <w:marLeft w:val="0"/>
      <w:marRight w:val="0"/>
      <w:marTop w:val="0"/>
      <w:marBottom w:val="0"/>
      <w:divBdr>
        <w:top w:val="none" w:sz="0" w:space="0" w:color="auto"/>
        <w:left w:val="none" w:sz="0" w:space="0" w:color="auto"/>
        <w:bottom w:val="none" w:sz="0" w:space="0" w:color="auto"/>
        <w:right w:val="none" w:sz="0" w:space="0" w:color="auto"/>
      </w:divBdr>
    </w:div>
    <w:div w:id="203588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mplifiedlabs.zendesk.com/hc/en-us/requests/new"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2745EFADB1C94FBD2D041F5FFFF513" ma:contentTypeVersion="11" ma:contentTypeDescription="Create a new document." ma:contentTypeScope="" ma:versionID="e99f04278e88296f36190d98c69236e7">
  <xsd:schema xmlns:xsd="http://www.w3.org/2001/XMLSchema" xmlns:xs="http://www.w3.org/2001/XMLSchema" xmlns:p="http://schemas.microsoft.com/office/2006/metadata/properties" xmlns:ns2="e120bade-c6b1-437d-a76d-1a0209b44b0c" xmlns:ns3="fac3ac3f-2989-4d88-8512-dc449369678e" targetNamespace="http://schemas.microsoft.com/office/2006/metadata/properties" ma:root="true" ma:fieldsID="26a7bb18707e77ce2f1605e3879805b6" ns2:_="" ns3:_="">
    <xsd:import namespace="e120bade-c6b1-437d-a76d-1a0209b44b0c"/>
    <xsd:import namespace="fac3ac3f-2989-4d88-8512-dc44936967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0bade-c6b1-437d-a76d-1a0209b44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ab66ea-cec7-4ca2-a1de-1c2ee088448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c3ac3f-2989-4d88-8512-dc44936967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216a1c-831e-4ec9-8312-b6c9734cbebb}" ma:internalName="TaxCatchAll" ma:showField="CatchAllData" ma:web="fac3ac3f-2989-4d88-8512-dc44936967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ac3ac3f-2989-4d88-8512-dc449369678e" xsi:nil="true"/>
    <lcf76f155ced4ddcb4097134ff3c332f xmlns="e120bade-c6b1-437d-a76d-1a0209b44b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ACF8AB-E20C-4B32-A62F-02728080A367}">
  <ds:schemaRefs>
    <ds:schemaRef ds:uri="http://schemas.microsoft.com/sharepoint/v3/contenttype/forms"/>
  </ds:schemaRefs>
</ds:datastoreItem>
</file>

<file path=customXml/itemProps2.xml><?xml version="1.0" encoding="utf-8"?>
<ds:datastoreItem xmlns:ds="http://schemas.openxmlformats.org/officeDocument/2006/customXml" ds:itemID="{7511A5EC-1BEE-4451-819E-CAC204671F1F}"/>
</file>

<file path=customXml/itemProps3.xml><?xml version="1.0" encoding="utf-8"?>
<ds:datastoreItem xmlns:ds="http://schemas.openxmlformats.org/officeDocument/2006/customXml" ds:itemID="{73D8DDA9-637D-4BF1-91AB-7400CFD41806}">
  <ds:schemaRefs>
    <ds:schemaRef ds:uri="http://schemas.microsoft.com/office/2006/metadata/properties"/>
    <ds:schemaRef ds:uri="http://schemas.microsoft.com/office/infopath/2007/PartnerControls"/>
    <ds:schemaRef ds:uri="fac3ac3f-2989-4d88-8512-dc449369678e"/>
    <ds:schemaRef ds:uri="e120bade-c6b1-437d-a76d-1a0209b44b0c"/>
  </ds:schemaRefs>
</ds:datastoreItem>
</file>

<file path=docMetadata/LabelInfo.xml><?xml version="1.0" encoding="utf-8"?>
<clbl:labelList xmlns:clbl="http://schemas.microsoft.com/office/2020/mipLabelMetadata">
  <clbl:label id="{de9231de-45f4-4325-ae07-8ae72052517e}" enabled="0" method="" siteId="{de9231de-45f4-4325-ae07-8ae72052517e}"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Quinones</dc:creator>
  <cp:keywords/>
  <dc:description/>
  <cp:lastModifiedBy>Jada Dawson</cp:lastModifiedBy>
  <cp:revision>11</cp:revision>
  <cp:lastPrinted>2026-01-22T18:30:00Z</cp:lastPrinted>
  <dcterms:created xsi:type="dcterms:W3CDTF">2026-01-26T21:42:00Z</dcterms:created>
  <dcterms:modified xsi:type="dcterms:W3CDTF">2026-01-27T09:47:32Z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0x010100942745EFADB1C94FBD2D041F5FFFF513</vt:lpwstr>
  </property>
  <property fmtid="{D5CDD505-2E9C-101B-9397-08002B2CF9AE}" pid="3" name="MediaServiceImageTags">
    <vt:lpwstr/>
  </property>
  <property fmtid="{D5CDD505-2E9C-101B-9397-08002B2CF9AE}" pid="4" name="docLang">
    <vt:lpwstr>en</vt:lpwstr>
  </property>
</Properties>
</file>